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3375" w14:textId="77777777" w:rsidR="001E68C6" w:rsidRPr="00CE368B" w:rsidRDefault="001E68C6" w:rsidP="001E68C6">
      <w:pPr>
        <w:pStyle w:val="Default"/>
        <w:rPr>
          <w:rFonts w:ascii="Times New Roman" w:hAnsi="Times New Roman" w:cs="Times New Roman"/>
        </w:rPr>
      </w:pPr>
      <w:r w:rsidRPr="00CE368B">
        <w:rPr>
          <w:rFonts w:ascii="Times New Roman" w:hAnsi="Times New Roman" w:cs="Times New Roman"/>
          <w:b/>
          <w:bCs/>
          <w:color w:val="211D1E"/>
        </w:rPr>
        <w:t xml:space="preserve">Chapter Title </w:t>
      </w:r>
    </w:p>
    <w:p w14:paraId="717C55AF" w14:textId="77777777" w:rsidR="005D235C" w:rsidRPr="00CE368B" w:rsidRDefault="005D235C">
      <w:pPr>
        <w:rPr>
          <w:rFonts w:ascii="Times New Roman" w:hAnsi="Times New Roman" w:cs="Times New Roman"/>
          <w:sz w:val="22"/>
          <w:szCs w:val="22"/>
        </w:rPr>
      </w:pPr>
    </w:p>
    <w:p w14:paraId="5FAAAAB2" w14:textId="51726403" w:rsidR="001E68C6" w:rsidRPr="00CE368B" w:rsidRDefault="001E68C6" w:rsidP="001E68C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368B">
        <w:rPr>
          <w:rFonts w:ascii="Times New Roman" w:hAnsi="Times New Roman" w:cs="Times New Roman"/>
          <w:b/>
          <w:bCs/>
          <w:color w:val="211D1E"/>
          <w:sz w:val="22"/>
          <w:szCs w:val="22"/>
        </w:rPr>
        <w:t xml:space="preserve">Gaius Julius Caesar and Marcus L. Crassus </w:t>
      </w:r>
    </w:p>
    <w:p w14:paraId="3963286C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055BA500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6B6A56B3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60D878D7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0D681D4E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1A4BE8F1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054BD537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4CD10E70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291D59CB" w14:textId="40FB6B5A" w:rsidR="001E68C6" w:rsidRPr="00CE368B" w:rsidRDefault="001E68C6" w:rsidP="007026A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E368B">
        <w:rPr>
          <w:rFonts w:ascii="Times New Roman" w:hAnsi="Times New Roman" w:cs="Times New Roman"/>
          <w:b/>
          <w:bCs/>
          <w:color w:val="211D1E"/>
          <w:sz w:val="22"/>
          <w:szCs w:val="22"/>
        </w:rPr>
        <w:t xml:space="preserve">Abstract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Horum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omnium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fortissimi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sunt Belgae,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propterea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quod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a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cultu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atque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humanitate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provinciae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longissime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absunt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minimeque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ad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eos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mercatores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saepe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com-meant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atque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ea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quae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ad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effeminandos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animos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pertinent important,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proximique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sunt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Germanis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, qui trans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Rhenum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incolunt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quibuscum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continenter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bellum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gerunt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. Qua de causa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Helvetii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quoque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reliquos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Gallos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virtute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praecedunt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quod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fere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cotidianis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proeliis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cum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Germanis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contendunt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, cum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aut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suis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finibus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eos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prohibent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aut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ipsi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in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eorum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finibus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bellum </w:t>
      </w:r>
      <w:proofErr w:type="spellStart"/>
      <w:r w:rsidRPr="00CE368B">
        <w:rPr>
          <w:rFonts w:ascii="Times New Roman" w:hAnsi="Times New Roman" w:cs="Times New Roman"/>
          <w:color w:val="211D1E"/>
          <w:sz w:val="22"/>
          <w:szCs w:val="22"/>
        </w:rPr>
        <w:t>gerunt</w:t>
      </w:r>
      <w:proofErr w:type="spellEnd"/>
      <w:r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.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Horum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omnium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fortissimi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sunt Belgae,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propterea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quod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a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cultu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atque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humanitate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provinciae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longissime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absunt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minimeque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ad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eos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mercatores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saepe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com-meant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atque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ea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quae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ad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effeminandos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animos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pertinent important,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proximique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sunt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Germanis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, qui trans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Rhenum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incolunt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quibuscum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continenter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 xml:space="preserve"> bellum </w:t>
      </w:r>
      <w:proofErr w:type="spellStart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gerunt</w:t>
      </w:r>
      <w:proofErr w:type="spellEnd"/>
      <w:r w:rsidR="004F7A9B" w:rsidRPr="00CE368B">
        <w:rPr>
          <w:rFonts w:ascii="Times New Roman" w:hAnsi="Times New Roman" w:cs="Times New Roman"/>
          <w:color w:val="211D1E"/>
          <w:sz w:val="22"/>
          <w:szCs w:val="22"/>
        </w:rPr>
        <w:t>.</w:t>
      </w:r>
    </w:p>
    <w:p w14:paraId="7E06922D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1DB29F86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25FF8730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1C709FF5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05AED100" w14:textId="4AF46711" w:rsidR="001E68C6" w:rsidRPr="00CE368B" w:rsidRDefault="001E68C6" w:rsidP="001E68C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368B">
        <w:rPr>
          <w:rFonts w:ascii="Times New Roman" w:hAnsi="Times New Roman" w:cs="Times New Roman"/>
          <w:b/>
          <w:bCs/>
          <w:color w:val="211D1E"/>
          <w:sz w:val="22"/>
          <w:szCs w:val="22"/>
        </w:rPr>
        <w:t xml:space="preserve">1 Heading </w:t>
      </w:r>
      <w:r w:rsidR="008C5BA7" w:rsidRPr="00CE368B">
        <w:rPr>
          <w:rFonts w:ascii="Times New Roman" w:hAnsi="Times New Roman" w:cs="Times New Roman"/>
          <w:b/>
          <w:bCs/>
          <w:color w:val="211D1E"/>
          <w:sz w:val="22"/>
          <w:szCs w:val="22"/>
        </w:rPr>
        <w:t>1</w:t>
      </w:r>
    </w:p>
    <w:p w14:paraId="2F785BEB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1FC31734" w14:textId="77777777" w:rsidR="001E68C6" w:rsidRPr="00CE368B" w:rsidRDefault="001E68C6">
      <w:pPr>
        <w:rPr>
          <w:rFonts w:ascii="Times New Roman" w:hAnsi="Times New Roman" w:cs="Times New Roman"/>
          <w:sz w:val="22"/>
          <w:szCs w:val="22"/>
        </w:rPr>
      </w:pPr>
    </w:p>
    <w:p w14:paraId="36C8E6B4" w14:textId="6FCB32C7" w:rsidR="0072458D" w:rsidRPr="00CE368B" w:rsidRDefault="001E68C6" w:rsidP="00B35B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Gallia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est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omnis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divisa in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partes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tres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quarum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unam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Belgae,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aliam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Aquitani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tertiam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qui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ipsorum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lingua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Celtae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nostra Galli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appellantur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Hi omnes lingua,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insti-tutis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legibus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inter se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differunt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Gallos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ab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Aquitanis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Garumna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flumen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Belgis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Matrona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Sequana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dividit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omnium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fortissimi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 Belgae,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propterea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cultu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humanitate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provinciae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longissime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absunt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minimeque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mercatores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saepe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commeant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effeminandos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animos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pertinent important,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proximique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trans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Rhenum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quibuscum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continenter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bellum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Qua de causa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Helvetii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quoque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reliquos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Gallos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virtute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praecedunt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fere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cotidianis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proeliis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contendunt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suis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prohibent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ipsi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bellum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contendunt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suis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="007026A3" w:rsidRPr="00CE368B">
        <w:rPr>
          <w:rFonts w:ascii="Times New Roman" w:hAnsi="Times New Roman" w:cs="Times New Roman"/>
          <w:color w:val="211D1E"/>
          <w:kern w:val="0"/>
          <w:sz w:val="22"/>
          <w:szCs w:val="22"/>
        </w:rPr>
        <w:t>.</w:t>
      </w:r>
    </w:p>
    <w:p w14:paraId="7F3BE316" w14:textId="6167F4B3" w:rsidR="0072458D" w:rsidRPr="00CE368B" w:rsidRDefault="001E68C6" w:rsidP="007026A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Gallia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est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omnis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divisa in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partes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tres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quarum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unam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Belgae,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aliam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Aquitani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tertiam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qui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ipsorum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lingua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Celtae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nostra Galli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appellantur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Hi omnes lingua,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insti-tutis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legibus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inter se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differunt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Gallos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ab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Aquitanis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Garumna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flumen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Belgis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Matrona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Sequana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dividit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omnium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fortissimi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 Belgae,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propterea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cultu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humanitate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provinciae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longissime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absunt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minimeque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mercatores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saepe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commeant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effeminandos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animos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pertinent important,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proximique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trans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Rhenum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quibuscum</w:t>
      </w:r>
      <w:proofErr w:type="spellEnd"/>
      <w:r w:rsidR="007026A3" w:rsidRPr="00CE368B">
        <w:rPr>
          <w:rFonts w:ascii="Times New Roman" w:hAnsi="Times New Roman" w:cs="Times New Roman"/>
          <w:color w:val="211D1E"/>
          <w:kern w:val="0"/>
          <w:sz w:val="22"/>
          <w:szCs w:val="22"/>
        </w:rPr>
        <w:t>.</w:t>
      </w:r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</w:p>
    <w:p w14:paraId="4DA9EC6A" w14:textId="77777777" w:rsidR="00D0229B" w:rsidRPr="00CE368B" w:rsidRDefault="00D0229B" w:rsidP="00D022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EBB31D2" w14:textId="77777777" w:rsidR="004F7A9B" w:rsidRPr="00CE368B" w:rsidRDefault="004F7A9B" w:rsidP="00D022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C53C226" w14:textId="77777777" w:rsidR="004F7A9B" w:rsidRPr="00CE368B" w:rsidRDefault="004F7A9B" w:rsidP="00D022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3948B79" w14:textId="6DF176D4" w:rsidR="00D0229B" w:rsidRPr="00CE368B" w:rsidRDefault="00D0229B" w:rsidP="00D022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E368B">
        <w:rPr>
          <w:rFonts w:ascii="Times New Roman" w:hAnsi="Times New Roman" w:cs="Times New Roman"/>
          <w:color w:val="000000"/>
          <w:kern w:val="0"/>
        </w:rPr>
        <w:t>________________________</w:t>
      </w:r>
    </w:p>
    <w:p w14:paraId="609346D1" w14:textId="522E1AD5" w:rsidR="00D0229B" w:rsidRPr="00CE368B" w:rsidRDefault="00D0229B" w:rsidP="00D0229B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1"/>
          <w:szCs w:val="21"/>
        </w:rPr>
      </w:pPr>
      <w:r w:rsidRPr="001E68C6">
        <w:rPr>
          <w:rFonts w:ascii="Times New Roman" w:hAnsi="Times New Roman" w:cs="Times New Roman"/>
          <w:color w:val="211D1E"/>
          <w:kern w:val="0"/>
          <w:sz w:val="21"/>
          <w:szCs w:val="21"/>
        </w:rPr>
        <w:t>G.J. Caesar (*)</w:t>
      </w:r>
    </w:p>
    <w:p w14:paraId="35820D34" w14:textId="781753D2" w:rsidR="00D0229B" w:rsidRPr="001E68C6" w:rsidRDefault="007026A3" w:rsidP="00D022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>Affiliation of corresponding author</w:t>
      </w:r>
    </w:p>
    <w:p w14:paraId="56FFB14F" w14:textId="31F7942E" w:rsidR="007026A3" w:rsidRPr="00CE368B" w:rsidRDefault="00D0229B">
      <w:pPr>
        <w:rPr>
          <w:rFonts w:ascii="Times New Roman" w:hAnsi="Times New Roman" w:cs="Times New Roman"/>
          <w:color w:val="211D1E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>e</w:t>
      </w:r>
      <w:r w:rsidR="007026A3"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>-</w:t>
      </w:r>
      <w:r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>mail of corresponding author</w:t>
      </w:r>
    </w:p>
    <w:p w14:paraId="2B891782" w14:textId="77777777" w:rsidR="007026A3" w:rsidRPr="00CE368B" w:rsidRDefault="007026A3">
      <w:pPr>
        <w:rPr>
          <w:rFonts w:ascii="Times New Roman" w:hAnsi="Times New Roman" w:cs="Times New Roman"/>
          <w:color w:val="211D1E"/>
          <w:kern w:val="0"/>
          <w:sz w:val="21"/>
          <w:szCs w:val="21"/>
        </w:rPr>
      </w:pPr>
    </w:p>
    <w:p w14:paraId="4C9D954B" w14:textId="4DD4A9EC" w:rsidR="007026A3" w:rsidRPr="00CE368B" w:rsidRDefault="007026A3">
      <w:pPr>
        <w:rPr>
          <w:rFonts w:ascii="Times New Roman" w:hAnsi="Times New Roman" w:cs="Times New Roman"/>
          <w:color w:val="211D1E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 xml:space="preserve">M. L. </w:t>
      </w:r>
      <w:proofErr w:type="spellStart"/>
      <w:r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>Crauss</w:t>
      </w:r>
      <w:proofErr w:type="spellEnd"/>
    </w:p>
    <w:p w14:paraId="124FE9D0" w14:textId="29B663D6" w:rsidR="00D0229B" w:rsidRPr="00CE368B" w:rsidRDefault="007026A3" w:rsidP="007026A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 xml:space="preserve">Affiliation of </w:t>
      </w:r>
      <w:r w:rsidR="003C5DBA"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>next</w:t>
      </w:r>
      <w:r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t xml:space="preserve"> author</w:t>
      </w:r>
      <w:r w:rsidR="00D0229B" w:rsidRPr="00CE368B">
        <w:rPr>
          <w:rFonts w:ascii="Times New Roman" w:hAnsi="Times New Roman" w:cs="Times New Roman"/>
          <w:color w:val="211D1E"/>
          <w:kern w:val="0"/>
          <w:sz w:val="21"/>
          <w:szCs w:val="21"/>
        </w:rPr>
        <w:br w:type="page"/>
      </w:r>
    </w:p>
    <w:p w14:paraId="0874C91E" w14:textId="694B8C3D" w:rsidR="0072458D" w:rsidRPr="00CE368B" w:rsidRDefault="001E68C6" w:rsidP="007026A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lastRenderedPageBreak/>
        <w:t xml:space="preserve">Gallia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est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omnis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divisa in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partes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tres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quarum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unam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Belgae,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aliam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Aquitani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tertiam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qui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ipsorum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lingua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Celtae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nostra Galli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appellantur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Hi omnes lingua,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insti-tutis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legibus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inter se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differunt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Gallos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ab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Aquitanis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Garumna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flumen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Belgis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Matrona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Sequana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dividit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omnium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fortissimi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 Belgae,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propterea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cultu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humanitate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provinciae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longissime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absunt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minimeque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mercatores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saepe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commeant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effeminandos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animos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pertinent important,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proximique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trans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Rhenum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quibuscum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continenter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bellum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Qua de causa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Helvetii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quoque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reliquos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Gallos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virtute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praecedunt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fere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cotidianis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proeliis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contendunt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suis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prohibent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ipsi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bellum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contendunt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suis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</w:p>
    <w:p w14:paraId="5977921E" w14:textId="77777777" w:rsidR="008C5BA7" w:rsidRPr="00CE368B" w:rsidRDefault="008C5BA7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7A8777EB" w14:textId="77777777" w:rsidR="008C5BA7" w:rsidRPr="00CE368B" w:rsidRDefault="008C5BA7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60C9F565" w14:textId="0A4EA1BB" w:rsidR="008C5BA7" w:rsidRPr="00CE368B" w:rsidRDefault="008C5BA7" w:rsidP="008C5BA7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368B">
        <w:rPr>
          <w:rFonts w:ascii="Times New Roman" w:hAnsi="Times New Roman" w:cs="Times New Roman"/>
          <w:b/>
          <w:bCs/>
          <w:i/>
          <w:iCs/>
          <w:color w:val="211D1E"/>
          <w:sz w:val="22"/>
          <w:szCs w:val="22"/>
        </w:rPr>
        <w:t>1.1 Subheading 1.1</w:t>
      </w:r>
    </w:p>
    <w:p w14:paraId="0F899CFA" w14:textId="77777777" w:rsidR="008C5BA7" w:rsidRPr="00CE368B" w:rsidRDefault="008C5BA7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1C15C6AF" w14:textId="77777777" w:rsidR="008C5BA7" w:rsidRPr="00CE368B" w:rsidRDefault="008C5BA7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22732F6C" w14:textId="77777777" w:rsidR="001E13F6" w:rsidRPr="00DD59D3" w:rsidRDefault="001E13F6" w:rsidP="001E1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Postero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die castra ex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eo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loco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movent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Idem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facit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Caesar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equitatumque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omnem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ad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numerum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quattuor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milium,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quem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ex omni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provincia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Haeduis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eorum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sociis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coactum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habebat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praemittit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videant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quas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partes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hostes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iter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faciant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Qui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cupidius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novissimum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agmen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insecuti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alieno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loco cum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equitatu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Helvetiorum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proe-lium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committunt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et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pauci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de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nostris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cadunt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Quo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proelio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sublati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Helvetii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quingentis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equitibus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tantam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multitudinem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equitum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propulerant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audacius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subsistere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non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numquam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novissimo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agmine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proe-lio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nostros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lacessere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coeperunt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Caesar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suos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proelio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continebat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ac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satis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habebat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praesentia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hostem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rapinis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pabulationibus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populationibusque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prohibere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Ita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dies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cir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-citer XV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iter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fecerunt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uti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inter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novissimum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hostium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agmen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nostrum primum non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amplius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quinis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senis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milibus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passuum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>interesset</w:t>
      </w:r>
      <w:proofErr w:type="spellEnd"/>
      <w:r w:rsidRPr="00DD59D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</w:p>
    <w:p w14:paraId="764F513C" w14:textId="77777777" w:rsidR="008C5BA7" w:rsidRPr="00CE368B" w:rsidRDefault="008C5BA7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6B357089" w14:textId="77777777" w:rsidR="008C5BA7" w:rsidRPr="00CE368B" w:rsidRDefault="008C5BA7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5ECB4ABA" w14:textId="5AF013FC" w:rsidR="008C5BA7" w:rsidRPr="00CE368B" w:rsidRDefault="008C5BA7" w:rsidP="00B135C4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E368B">
        <w:rPr>
          <w:rFonts w:ascii="Times New Roman" w:hAnsi="Times New Roman" w:cs="Times New Roman"/>
          <w:b/>
          <w:bCs/>
          <w:i/>
          <w:iCs/>
          <w:color w:val="211D1E"/>
          <w:sz w:val="22"/>
          <w:szCs w:val="22"/>
        </w:rPr>
        <w:t>1.2 Subheading 1.2</w:t>
      </w:r>
    </w:p>
    <w:p w14:paraId="37D968F1" w14:textId="77777777" w:rsidR="008C5BA7" w:rsidRPr="00CE368B" w:rsidRDefault="008C5BA7" w:rsidP="00B1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75576AB9" w14:textId="77777777" w:rsidR="007B7ABA" w:rsidRDefault="007B7ABA" w:rsidP="00B1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</w:pPr>
    </w:p>
    <w:p w14:paraId="72018BCB" w14:textId="77777777" w:rsidR="00720F5C" w:rsidRPr="00720F5C" w:rsidRDefault="00720F5C" w:rsidP="00B135C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Quibus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rebus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cognitis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ad has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suspiciones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certissimae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res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accederent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per fines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Sequanorum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Helvetios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traduxisset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obsides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inter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dandos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curasset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omnia non modo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iniussu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suo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civitatis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sed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etiam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inscientibus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ipsis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fecis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-set,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magistratu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Haeduorum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accusaretur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satis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esse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causae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arbitrabatur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quare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ipse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animadverteret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civitatem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animadvertere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iuberet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His omnibus rebus unum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repugnabat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Diviciaci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fratris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summum in populum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Romanum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studium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summum in 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voluntatem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egregiam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fidem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iustitiam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temperantiam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cog-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noverat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nam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eius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supplicio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Diviciaci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animum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offenderet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verebatur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</w:p>
    <w:p w14:paraId="31808E3B" w14:textId="77777777" w:rsidR="008C5BA7" w:rsidRPr="007B7ABA" w:rsidRDefault="008C5BA7" w:rsidP="00B1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E8AEBD3" w14:textId="77777777" w:rsidR="007B7ABA" w:rsidRDefault="007B7ABA" w:rsidP="00B135C4">
      <w:pPr>
        <w:pStyle w:val="Default"/>
        <w:jc w:val="both"/>
        <w:rPr>
          <w:rFonts w:ascii="Times New Roman" w:hAnsi="Times New Roman" w:cs="Times New Roman"/>
          <w:color w:val="211D1E"/>
          <w:sz w:val="22"/>
          <w:szCs w:val="22"/>
        </w:rPr>
      </w:pPr>
    </w:p>
    <w:p w14:paraId="5B1A98DA" w14:textId="74FF8120" w:rsidR="007B7ABA" w:rsidRDefault="00720F5C" w:rsidP="00B135C4">
      <w:pPr>
        <w:pStyle w:val="Default"/>
        <w:jc w:val="both"/>
        <w:rPr>
          <w:rFonts w:ascii="Times New Roman" w:hAnsi="Times New Roman" w:cs="Times New Roman"/>
          <w:b/>
          <w:bCs/>
          <w:color w:val="211D1E"/>
          <w:sz w:val="22"/>
          <w:szCs w:val="22"/>
        </w:rPr>
      </w:pPr>
      <w:r w:rsidRPr="00720F5C">
        <w:rPr>
          <w:rFonts w:ascii="Times New Roman" w:hAnsi="Times New Roman" w:cs="Times New Roman"/>
          <w:b/>
          <w:bCs/>
          <w:color w:val="211D1E"/>
          <w:sz w:val="22"/>
          <w:szCs w:val="22"/>
        </w:rPr>
        <w:t xml:space="preserve">2 Heading </w:t>
      </w:r>
      <w:r w:rsidR="00880116">
        <w:rPr>
          <w:rFonts w:ascii="Times New Roman" w:hAnsi="Times New Roman" w:cs="Times New Roman"/>
          <w:b/>
          <w:bCs/>
          <w:color w:val="211D1E"/>
          <w:sz w:val="22"/>
          <w:szCs w:val="22"/>
        </w:rPr>
        <w:t>2</w:t>
      </w:r>
      <w:r w:rsidRPr="00720F5C">
        <w:rPr>
          <w:rFonts w:ascii="Times New Roman" w:hAnsi="Times New Roman" w:cs="Times New Roman"/>
          <w:b/>
          <w:bCs/>
          <w:color w:val="211D1E"/>
          <w:sz w:val="22"/>
          <w:szCs w:val="22"/>
        </w:rPr>
        <w:t xml:space="preserve"> </w:t>
      </w:r>
    </w:p>
    <w:p w14:paraId="4F2F6B47" w14:textId="77777777" w:rsidR="007B7ABA" w:rsidRDefault="007B7ABA" w:rsidP="00B135C4">
      <w:pPr>
        <w:pStyle w:val="Default"/>
        <w:jc w:val="both"/>
        <w:rPr>
          <w:rFonts w:ascii="Times New Roman" w:hAnsi="Times New Roman" w:cs="Times New Roman"/>
          <w:b/>
          <w:bCs/>
          <w:color w:val="211D1E"/>
          <w:sz w:val="22"/>
          <w:szCs w:val="22"/>
        </w:rPr>
      </w:pPr>
    </w:p>
    <w:p w14:paraId="7141F25C" w14:textId="77777777" w:rsidR="007B7ABA" w:rsidRDefault="007B7ABA" w:rsidP="00B135C4">
      <w:pPr>
        <w:pStyle w:val="Default"/>
        <w:jc w:val="both"/>
        <w:rPr>
          <w:rFonts w:ascii="Times New Roman" w:hAnsi="Times New Roman" w:cs="Times New Roman"/>
          <w:b/>
          <w:bCs/>
          <w:color w:val="211D1E"/>
          <w:sz w:val="22"/>
          <w:szCs w:val="22"/>
        </w:rPr>
      </w:pPr>
    </w:p>
    <w:p w14:paraId="1BD56E8B" w14:textId="6933549D" w:rsidR="00720F5C" w:rsidRPr="007B7ABA" w:rsidRDefault="00720F5C" w:rsidP="00B135C4">
      <w:pPr>
        <w:pStyle w:val="Default"/>
        <w:jc w:val="both"/>
        <w:rPr>
          <w:rFonts w:ascii="Times New Roman" w:hAnsi="Times New Roman" w:cs="Times New Roman"/>
          <w:color w:val="211D1E"/>
          <w:sz w:val="22"/>
          <w:szCs w:val="22"/>
        </w:rPr>
      </w:pPr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Tum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demum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Liscus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oratione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Caesaris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adductus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quod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antea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tacuerat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proponit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: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esse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non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nullos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, quorum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auctoritas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apud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plebem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plurimum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valeat, qui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privatim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plus pos-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sint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quam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ipsi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magistratus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. Hos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seditiosa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atque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improba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oratione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multitudinem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deterrere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, ne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frumentum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conferant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quod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debeant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: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praestare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si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iam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principatum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Galliae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obtinere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non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possint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Gallorum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quam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Romanorum imperia </w:t>
      </w:r>
      <w:proofErr w:type="spell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perferre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proofErr w:type="gramStart"/>
      <w:r w:rsidRPr="00720F5C">
        <w:rPr>
          <w:rFonts w:ascii="Times New Roman" w:hAnsi="Times New Roman" w:cs="Times New Roman"/>
          <w:color w:val="211D1E"/>
          <w:sz w:val="22"/>
          <w:szCs w:val="22"/>
        </w:rPr>
        <w:t>neque</w:t>
      </w:r>
      <w:proofErr w:type="spellEnd"/>
      <w:r w:rsidRPr="00720F5C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quod</w:t>
      </w:r>
      <w:proofErr w:type="spellEnd"/>
      <w:proofErr w:type="gram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nisi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rogatus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non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venerit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et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quod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bellum non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intulerit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sed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defenderit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. Se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prius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in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Galliam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venisse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quam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populum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Romanum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.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Numquam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ante hoc tempus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exerci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-tum populi Romani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Galliae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provinciae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finibus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egressum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. Quid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sibi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vellet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? Cur in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suas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possessiones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veniret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? </w:t>
      </w:r>
    </w:p>
    <w:p w14:paraId="2ABE9E14" w14:textId="77777777" w:rsidR="00720F5C" w:rsidRDefault="00720F5C" w:rsidP="00B135C4">
      <w:pPr>
        <w:pStyle w:val="Default"/>
        <w:jc w:val="both"/>
        <w:rPr>
          <w:rFonts w:ascii="Times New Roman" w:hAnsi="Times New Roman" w:cs="Times New Roman"/>
          <w:color w:val="211D1E"/>
          <w:sz w:val="22"/>
          <w:szCs w:val="22"/>
        </w:rPr>
      </w:pPr>
    </w:p>
    <w:p w14:paraId="152D1539" w14:textId="77777777" w:rsidR="007B7ABA" w:rsidRPr="007B7ABA" w:rsidRDefault="007B7ABA" w:rsidP="00B135C4">
      <w:pPr>
        <w:pStyle w:val="Default"/>
        <w:jc w:val="both"/>
        <w:rPr>
          <w:rFonts w:ascii="Times New Roman" w:hAnsi="Times New Roman" w:cs="Times New Roman"/>
          <w:color w:val="211D1E"/>
          <w:sz w:val="22"/>
          <w:szCs w:val="22"/>
        </w:rPr>
      </w:pPr>
    </w:p>
    <w:p w14:paraId="51C48BA8" w14:textId="77777777" w:rsidR="001E13F6" w:rsidRPr="004F7A9B" w:rsidRDefault="001E13F6" w:rsidP="001E1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F7A9B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 xml:space="preserve">Run-in Heading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Multos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annos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obtinuerat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a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senatu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populi Romani amicus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appel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-latus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erat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ut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regnum in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civitate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sua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occuparet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pater ante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habuerit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itemque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Dumnorigi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Haeduo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fratri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Diviciaci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eo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lastRenderedPageBreak/>
        <w:t xml:space="preserve">tempore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principatum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civitate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obtinebat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ac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maxime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plebi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acceptus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erat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ut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idem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conaretur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persuadet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eique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filiam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suam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mat-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rimonium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dat.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Perfacile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factu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esse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illis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probat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4F7A9B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E. coli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perficere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propterea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ipse suae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civitatis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imperium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obtenturus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esset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: non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esse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4F7A9B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A. flavus </w:t>
      </w:r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quin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totius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Galliae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pluri-mum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Helvetii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possent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se suis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copiis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suoque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exercitu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illis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regna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conciliaturum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confirmat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Hac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oratione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adducti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vivo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fidem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ius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iurandum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dant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regno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occupato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populos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totius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Galliae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sese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potiri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posse </w:t>
      </w:r>
      <w:proofErr w:type="spellStart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sperant</w:t>
      </w:r>
      <w:proofErr w:type="spellEnd"/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(Myers et al</w:t>
      </w:r>
      <w:r w:rsidRPr="00CE368B">
        <w:rPr>
          <w:rFonts w:ascii="Times New Roman" w:hAnsi="Times New Roman" w:cs="Times New Roman"/>
          <w:color w:val="211D1E"/>
          <w:kern w:val="0"/>
          <w:sz w:val="22"/>
          <w:szCs w:val="22"/>
        </w:rPr>
        <w:t>. 2011).</w:t>
      </w:r>
      <w:r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</w:p>
    <w:p w14:paraId="7602845B" w14:textId="77777777" w:rsidR="00720F5C" w:rsidRPr="007B7ABA" w:rsidRDefault="00720F5C" w:rsidP="00B135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BABE94" w14:textId="65FE96D9" w:rsidR="00720F5C" w:rsidRPr="00720F5C" w:rsidRDefault="00720F5C" w:rsidP="00B1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E40196C" w14:textId="77777777" w:rsidR="007B7ABA" w:rsidRDefault="00720F5C" w:rsidP="00B1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Gallia,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ille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minimum propter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adulescentiam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posset, per 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crevisset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quibus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opibus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ac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nervis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non solum ad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minuendam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gratiam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sed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paene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ad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perniciem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suam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uteretur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Sese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tamen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amore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fraterno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existimatione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vulgi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commoveri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quid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Caesare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gravius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accidisset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ipse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locum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amicitiae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apud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teneret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nem-inem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existimaturum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non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sua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voluntate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factum; qua ex re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futurum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uti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totius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Galliae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animi a 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averterentur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Overactive bladder (OBA) afflicts over 33 million women,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eius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dextram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prendit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consolatus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rogat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finem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orandi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faciat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tanti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eius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apud 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gratiam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esse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ostendit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uti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rei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publicae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iniuriam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suum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dolorem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eius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voluntati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ac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precibus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condonet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Dumnorigem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vocat</w:t>
      </w:r>
      <w:proofErr w:type="spellEnd"/>
      <w:r w:rsid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,</w:t>
      </w:r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fratrem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adhibet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OBA in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eo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reprehendat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osten-dit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quae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ipse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intellegat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quae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civitas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queratur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proponit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monet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ut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reliquum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tempus omnes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suspiciones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vitet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praeterita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Diviciaco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fratri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condonare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dicit.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Dumnoriges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se </w:t>
      </w:r>
      <w:proofErr w:type="spellStart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>vocat</w:t>
      </w:r>
      <w:proofErr w:type="spellEnd"/>
      <w:r w:rsidRPr="00720F5C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: </w:t>
      </w:r>
    </w:p>
    <w:p w14:paraId="6B256E51" w14:textId="77777777" w:rsidR="007B7ABA" w:rsidRDefault="007B7ABA" w:rsidP="00B1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3FD49513" w14:textId="5967BF82" w:rsidR="007B7ABA" w:rsidRPr="007B7ABA" w:rsidRDefault="00720F5C" w:rsidP="00B135C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Milia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passuum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XVIIII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murum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altitudinem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pedum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sedecim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fossamque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perducit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</w:p>
    <w:p w14:paraId="1D8A5D0F" w14:textId="16CBCEDA" w:rsidR="007B7ABA" w:rsidRPr="007B7ABA" w:rsidRDefault="00720F5C" w:rsidP="00B135C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Eo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opere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perfecto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praesida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disponit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castella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communit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quo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facilius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si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se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invito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transire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conentur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prohibere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possit</w:t>
      </w:r>
      <w:proofErr w:type="spellEnd"/>
    </w:p>
    <w:p w14:paraId="13EE4B1C" w14:textId="77777777" w:rsidR="007B7ABA" w:rsidRPr="007B7ABA" w:rsidRDefault="00720F5C" w:rsidP="00B135C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Ubi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dies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quam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constituerat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cum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legatis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venit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legati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ad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eum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proofErr w:type="gram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reverterunt</w:t>
      </w:r>
      <w:proofErr w:type="spellEnd"/>
      <w:proofErr w:type="gram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</w:p>
    <w:p w14:paraId="36BB232B" w14:textId="3CB86BAB" w:rsidR="00720F5C" w:rsidRPr="007B7ABA" w:rsidRDefault="00720F5C" w:rsidP="00B135C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Negat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se more et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exemplo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populi Romani posse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iter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ulli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per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provinciam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dare et,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si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vim </w:t>
      </w:r>
      <w:proofErr w:type="spell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lacere</w:t>
      </w:r>
      <w:proofErr w:type="spell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gramStart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>cone</w:t>
      </w:r>
      <w:proofErr w:type="gramEnd"/>
      <w:r w:rsidRPr="007B7ABA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</w:p>
    <w:p w14:paraId="0776638A" w14:textId="77777777" w:rsidR="00720F5C" w:rsidRPr="007B7ABA" w:rsidRDefault="00720F5C" w:rsidP="00B1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E26F277" w14:textId="17386D3F" w:rsidR="00524801" w:rsidRPr="00524801" w:rsidRDefault="00524801" w:rsidP="00B135C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Nam hoc toto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proelio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ab hora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septima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vesperum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pugnatum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sit,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aversum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hostem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videre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20 ml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potuit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Ad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multam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noctem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etiam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impedimenta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pugnatum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est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propterea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pro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vallo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carros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obiecerunt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e loco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superiore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nostros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venientes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tela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coiciebant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non 5.3 s inter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carros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rotasque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mataras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ac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tragulas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sub-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iciebant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nostrosque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vulnerabant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Diu cum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esset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pugnatum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,</w:t>
      </w:r>
      <w:r w:rsidRPr="0052480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A</w:t>
      </w:r>
      <w:r w:rsidR="00ED5C2D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= </w:t>
      </w:r>
      <w:r w:rsidR="00ED5C2D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sym w:font="Symbol" w:char="F070"/>
      </w:r>
      <w:r w:rsidRPr="00524801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r</w:t>
      </w:r>
      <w:r w:rsidR="00ED5C2D" w:rsidRPr="00ED5C2D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vertAlign w:val="superscript"/>
        </w:rPr>
        <w:t>2</w:t>
      </w:r>
      <w:r w:rsidRPr="00524801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impedimentis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castrisque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nostri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potiti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sunt.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Ibi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Orgetorigis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filia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unus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filiis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captus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est. Ex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proelio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circiter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hominum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milia 12,000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superfuerunt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eaque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tota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nocte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continenter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12 patients died and quarto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pervenerunt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et propter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vulnera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militum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propter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sepulturam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occisorum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nostri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sequi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non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potuissent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Caesar ad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Lingonas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litteras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nuntiosque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misit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ne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frumento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neve alia re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iuvarent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: qui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iuvissent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se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eodem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loco quo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habiturum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Ipse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triduo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intermisso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cum omnibus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copiis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sequi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coepit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(2005–2010). </w:t>
      </w:r>
    </w:p>
    <w:p w14:paraId="4734CD3A" w14:textId="77777777" w:rsidR="00524801" w:rsidRDefault="00524801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5A2C3A8" w14:textId="77777777" w:rsidR="00ED5C2D" w:rsidRPr="007B7ABA" w:rsidRDefault="00ED5C2D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5237BD6" w14:textId="77777777" w:rsidR="00524801" w:rsidRPr="007B7ABA" w:rsidRDefault="00524801" w:rsidP="009C658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7ABA">
        <w:rPr>
          <w:rFonts w:ascii="Times New Roman" w:hAnsi="Times New Roman" w:cs="Times New Roman"/>
          <w:b/>
          <w:bCs/>
          <w:color w:val="211D1E"/>
          <w:sz w:val="22"/>
          <w:szCs w:val="22"/>
        </w:rPr>
        <w:t xml:space="preserve">Run-in Heading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Helvetii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omnium rerum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inopia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adducti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legatos de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deditione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ad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eum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miserunt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. Qui cum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eum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in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itinere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convenissent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seque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ad pedes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proiecissent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suppliciterque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locuti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flentes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pacem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petissent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atque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eos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in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eo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loco quo tum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essent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suum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adventum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expectare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iussisset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paruerunt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(Eq. 20.1).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Eo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Caesar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pervenit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obsides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arma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, servos qui ad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eos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perfugissent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, </w:t>
      </w:r>
      <w:proofErr w:type="spellStart"/>
      <w:r w:rsidRPr="007B7ABA">
        <w:rPr>
          <w:rFonts w:ascii="Times New Roman" w:hAnsi="Times New Roman" w:cs="Times New Roman"/>
          <w:color w:val="211D1E"/>
          <w:sz w:val="22"/>
          <w:szCs w:val="22"/>
        </w:rPr>
        <w:t>poposcit</w:t>
      </w:r>
      <w:proofErr w:type="spellEnd"/>
      <w:r w:rsidRPr="007B7ABA">
        <w:rPr>
          <w:rFonts w:ascii="Times New Roman" w:hAnsi="Times New Roman" w:cs="Times New Roman"/>
          <w:color w:val="211D1E"/>
          <w:sz w:val="22"/>
          <w:szCs w:val="22"/>
        </w:rPr>
        <w:t xml:space="preserve">. </w:t>
      </w:r>
    </w:p>
    <w:p w14:paraId="6277EABA" w14:textId="77777777" w:rsidR="00524801" w:rsidRDefault="00524801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5059353" w14:textId="77777777" w:rsidR="00ED5C2D" w:rsidRPr="007B7ABA" w:rsidRDefault="00ED5C2D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BF57051" w14:textId="77777777" w:rsidR="00ED5C2D" w:rsidRDefault="00524801" w:rsidP="00524801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Proof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We note </w:t>
      </w:r>
      <w:proofErr w:type="gram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that</w:t>
      </w:r>
      <w:proofErr w:type="gram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</w:p>
    <w:p w14:paraId="48BD5058" w14:textId="77777777" w:rsidR="00ED5C2D" w:rsidRDefault="00ED5C2D" w:rsidP="00524801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</w:p>
    <w:p w14:paraId="33FC8EB7" w14:textId="329C61E7" w:rsidR="00ED5C2D" w:rsidRDefault="00524801" w:rsidP="00ED5C2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+ </w:t>
      </w:r>
      <w:r w:rsidR="00ED5C2D">
        <w:rPr>
          <w:rFonts w:ascii="Times New Roman" w:hAnsi="Times New Roman" w:cs="Times New Roman"/>
          <w:color w:val="211D1E"/>
          <w:kern w:val="0"/>
          <w:sz w:val="22"/>
          <w:szCs w:val="22"/>
        </w:rPr>
        <w:t>(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b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="00ED5C2D">
        <w:rPr>
          <w:rFonts w:ascii="Times New Roman" w:hAnsi="Times New Roman" w:cs="Times New Roman"/>
          <w:color w:val="211D1E"/>
          <w:kern w:val="0"/>
          <w:sz w:val="22"/>
          <w:szCs w:val="22"/>
        </w:rPr>
        <w:t>–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 w:rsidR="00ED5C2D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)</w:t>
      </w:r>
      <w:r w:rsidR="00ED5C2D" w:rsidRPr="00ED5C2D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 xml:space="preserve"> 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= 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="00ED5C2D">
        <w:rPr>
          <w:rFonts w:ascii="Times New Roman" w:hAnsi="Times New Roman" w:cs="Times New Roman"/>
          <w:color w:val="211D1E"/>
          <w:kern w:val="0"/>
          <w:sz w:val="22"/>
          <w:szCs w:val="22"/>
        </w:rPr>
        <w:t>[(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b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− 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 w:rsidR="00ED5C2D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)</w:t>
      </w:r>
      <w:r w:rsidR="00ED5C2D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+</w:t>
      </w:r>
      <w:r w:rsidR="00ED5C2D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="00FD3BC3"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 w:rsidR="00FD3BC3">
        <w:rPr>
          <w:rFonts w:ascii="Times New Roman" w:hAnsi="Times New Roman" w:cs="Times New Roman"/>
          <w:color w:val="211D1E"/>
          <w:kern w:val="0"/>
          <w:sz w:val="22"/>
          <w:szCs w:val="22"/>
        </w:rPr>
        <w:t>] (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b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</w:t>
      </w:r>
      <w:proofErr w:type="gramStart"/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−</w:t>
      </w:r>
      <w:proofErr w:type="gramEnd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 w:rsidR="00ED5C2D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)</w:t>
      </w:r>
      <w:r w:rsidR="00ED5C2D" w:rsidRPr="00ED5C2D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 xml:space="preserve"> 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</w:p>
    <w:p w14:paraId="45340416" w14:textId="03D4657F" w:rsidR="00ED5C2D" w:rsidRDefault="00ED5C2D" w:rsidP="00ED5C2D">
      <w:pPr>
        <w:autoSpaceDE w:val="0"/>
        <w:autoSpaceDN w:val="0"/>
        <w:adjustRightInd w:val="0"/>
        <w:ind w:left="2880"/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 </w:t>
      </w:r>
      <w:r w:rsidR="00524801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=</w:t>
      </w:r>
      <w:r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="00524801"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="00524801"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b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D1E"/>
          <w:kern w:val="0"/>
          <w:sz w:val="22"/>
          <w:szCs w:val="22"/>
        </w:rPr>
        <w:t>(</w:t>
      </w:r>
      <w:r w:rsidR="00524801"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b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="00524801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−</w:t>
      </w:r>
      <w:r w:rsidR="00524801"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)</w:t>
      </w:r>
      <w:r w:rsidRPr="00ED5C2D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.</w:t>
      </w:r>
    </w:p>
    <w:p w14:paraId="0D78DBE2" w14:textId="77777777" w:rsidR="00ED5C2D" w:rsidRDefault="00ED5C2D" w:rsidP="005248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</w:pPr>
    </w:p>
    <w:p w14:paraId="544C1639" w14:textId="412C38DD" w:rsidR="00524801" w:rsidRPr="00524801" w:rsidRDefault="00524801" w:rsidP="00524801">
      <w:pPr>
        <w:autoSpaceDE w:val="0"/>
        <w:autoSpaceDN w:val="0"/>
        <w:adjustRightInd w:val="0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so 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(a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+</w:t>
      </w:r>
      <w:r w:rsidR="00ED5C2D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[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b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−</w:t>
      </w:r>
      <w:r w:rsidR="00FD3BC3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]</w:t>
      </w:r>
      <w:r w:rsidR="00ED5C2D" w:rsidRPr="00ED5C2D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 xml:space="preserve"> 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)</w:t>
      </w:r>
      <w:r w:rsidR="00ED5C2D" w:rsidRPr="00ED5C2D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 xml:space="preserve"> 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=</w:t>
      </w:r>
      <w:r w:rsidR="00ED5C2D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(b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  <w:vertAlign w:val="superscript"/>
        </w:rPr>
        <w:t>−1</w:t>
      </w:r>
      <w:r w:rsidR="00ED5C2D"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−</w:t>
      </w:r>
      <w:proofErr w:type="gramStart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a)</w:t>
      </w:r>
      <w:proofErr w:type="spellStart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ba</w:t>
      </w:r>
      <w:proofErr w:type="spellEnd"/>
      <w:proofErr w:type="gramEnd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=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a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− 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aba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</w:p>
    <w:p w14:paraId="186DD05C" w14:textId="77777777" w:rsidR="00524801" w:rsidRPr="007B7ABA" w:rsidRDefault="00524801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051915A" w14:textId="77777777" w:rsidR="00524801" w:rsidRPr="00524801" w:rsidRDefault="00524801" w:rsidP="009C658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Dum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conquiruntur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conferuntur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circiter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hominum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milia VI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eius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pagi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qui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Verbigenus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appellatur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sive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timore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perterriti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ne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armis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traditis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supplicio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adficerentur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sive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spe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salutis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inducti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20 °C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multitudine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dediticorum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suam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fugam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occultari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omnino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ignorari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posse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existimarent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prima nocte 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lastRenderedPageBreak/>
        <w:t>castris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Helvetiorum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egressi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Rhenum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finesque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Germanorum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contenderunt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(Snyder 1985).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ubi Caesar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resciit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quorum per fines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ierant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his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conquirerent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reducerent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sibi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purgati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esse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vellent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imperavit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reductos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hostium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numero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habuit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reliquos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omnes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obsidibus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armis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perfugis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traditis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deditionem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accepit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Tulingos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Latobrigos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fines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suos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unde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erant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profecti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reverti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iussit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et,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omnibus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frugibus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amissis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domi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nihil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erat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quo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famem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tolerarent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Allobrogibus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imperavit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frumenti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copiam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facerent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(starting 3 January 2010);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ipsos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oppida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vicosque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quos 1/12 non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incenderant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restituere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iussit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Id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maxime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ratione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fecit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noluit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locum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unde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discesserant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vacare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ne propter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bonitatem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agrorum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Germani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trans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Rhenum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suis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Helvetiorum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fines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transirent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finitimi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Galliae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pro-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vinciae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Allobrogibusque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essent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Boios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petentibus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Haeduis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egregia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virtute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erant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cogniti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suis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conlocarent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concessit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illi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agros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dederunt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quosque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postea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parem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iuris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libertatisque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condicionem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ipsi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erant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receperunt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</w:p>
    <w:p w14:paraId="2CFE1F15" w14:textId="77777777" w:rsidR="00524801" w:rsidRPr="007B7ABA" w:rsidRDefault="00524801" w:rsidP="009C6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5AAD820" w14:textId="77777777" w:rsidR="00524801" w:rsidRPr="007B7ABA" w:rsidRDefault="00524801" w:rsidP="009C6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1FB6C1C" w14:textId="7070EA5E" w:rsidR="009C6587" w:rsidRDefault="00524801" w:rsidP="009C6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</w:pPr>
      <w:r w:rsidRPr="0052480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  <w:t>2</w:t>
      </w:r>
      <w:r w:rsidR="00880116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  <w:t>.</w:t>
      </w:r>
      <w:r w:rsidRPr="0052480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  <w:t xml:space="preserve">1 </w:t>
      </w:r>
      <w:r w:rsidR="00880116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  <w:t>Subh</w:t>
      </w:r>
      <w:r w:rsidRPr="0052480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  <w:t>eading 2</w:t>
      </w:r>
      <w:r w:rsidR="00880116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  <w:t>.1</w:t>
      </w:r>
    </w:p>
    <w:p w14:paraId="0A4BE61E" w14:textId="77777777" w:rsidR="009C6587" w:rsidRDefault="009C6587" w:rsidP="009C6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</w:pPr>
    </w:p>
    <w:p w14:paraId="38BB5710" w14:textId="77777777" w:rsidR="009C6587" w:rsidRDefault="009C6587" w:rsidP="009C6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</w:rPr>
      </w:pPr>
    </w:p>
    <w:p w14:paraId="32ED01A4" w14:textId="77777777" w:rsidR="009C6587" w:rsidRDefault="00524801" w:rsidP="009C6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Apud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longe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nobilissimus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fuit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ditissimus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Orgetorix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Is M.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Messala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A.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Pisone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consulibus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regni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cupiditate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inductus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coniurationem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nobilitatis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fecit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civi-tati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persuasit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suis cum omnibus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copiis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exirent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: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perfacile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esse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virtute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omnibus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praestarent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totius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Galliae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imperio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potiri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hoc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facilius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persua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-sit,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undique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loci natura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continentur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: </w:t>
      </w:r>
      <w:proofErr w:type="spellStart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una</w:t>
      </w:r>
      <w:proofErr w:type="spellEnd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ex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parte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flumine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Rheno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latis-simo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altissimo, qui agrum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dividit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</w:t>
      </w:r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altera </w:t>
      </w: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ex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parte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motte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Iura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altissimo, qui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est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inter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Sequanos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tertia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lacu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Lemanno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flumine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Rhodano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provinciam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nostram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ab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Helvetiis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dividit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His rebus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fiebat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minus late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vagarentur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minus facile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finitimis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bellum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inferre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possent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qua ex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parte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hom-ines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bellandi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cupidi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magno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dolore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adficiebantur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Pro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multitudine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autem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hominum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pro gloria belli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fortitudinis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angustos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se fines habere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arbitrabantur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in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lon-gitudinem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milia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passuum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CCXL, in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latitudinem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CLXXX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patebant</w:t>
      </w:r>
      <w:proofErr w:type="spellEnd"/>
      <w:r w:rsidR="009C6587">
        <w:rPr>
          <w:rFonts w:ascii="Times New Roman" w:hAnsi="Times New Roman" w:cs="Times New Roman"/>
          <w:color w:val="211D1E"/>
          <w:kern w:val="0"/>
          <w:sz w:val="22"/>
          <w:szCs w:val="22"/>
        </w:rPr>
        <w:t>.</w:t>
      </w:r>
    </w:p>
    <w:p w14:paraId="5CEC2744" w14:textId="5800D4B5" w:rsidR="00524801" w:rsidRPr="00524801" w:rsidRDefault="00524801" w:rsidP="009C658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His rebus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adducti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auctoritate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Orgetorigis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permoti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constituerunt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quae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proficiscendum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pertinerent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comparare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iumentorum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carrorum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quam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maximum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numerum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coemere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sementes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quam</w:t>
      </w:r>
      <w:proofErr w:type="spellEnd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maximam</w:t>
      </w:r>
      <w:proofErr w:type="spellEnd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i/>
          <w:iCs/>
          <w:color w:val="211D1E"/>
          <w:kern w:val="0"/>
          <w:sz w:val="22"/>
          <w:szCs w:val="22"/>
        </w:rPr>
        <w:t>facere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ut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itinere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copia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frumenti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sup-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peteret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proximis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civitatibus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pacem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amicitiam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confirmare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Ad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eas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res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conficiendas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biennium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sibi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satis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esse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duxerunt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; in tertium annum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profectionem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lege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confirmant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Ad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eas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res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conficiendas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Orgetorix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>deligitur</w:t>
      </w:r>
      <w:proofErr w:type="spellEnd"/>
      <w:r w:rsidRPr="0052480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</w:p>
    <w:p w14:paraId="28BF3ECC" w14:textId="77777777" w:rsidR="00524801" w:rsidRPr="007B7ABA" w:rsidRDefault="00524801" w:rsidP="0052480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1800"/>
        <w:gridCol w:w="1800"/>
        <w:gridCol w:w="1530"/>
        <w:gridCol w:w="1250"/>
      </w:tblGrid>
      <w:tr w:rsidR="009C6587" w14:paraId="416A1F67" w14:textId="77777777" w:rsidTr="00755BA2">
        <w:tc>
          <w:tcPr>
            <w:tcW w:w="2970" w:type="dxa"/>
            <w:vMerge w:val="restart"/>
            <w:tcBorders>
              <w:top w:val="nil"/>
              <w:left w:val="nil"/>
              <w:right w:val="nil"/>
            </w:tcBorders>
          </w:tcPr>
          <w:p w14:paraId="73FA534A" w14:textId="0FD291FB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473C2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Table 2.1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Gallos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Aquitanis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Garumna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flumen</w:t>
            </w:r>
            <w:proofErr w:type="spellEnd"/>
          </w:p>
        </w:tc>
        <w:tc>
          <w:tcPr>
            <w:tcW w:w="1800" w:type="dxa"/>
            <w:vMerge w:val="restart"/>
            <w:tcBorders>
              <w:left w:val="nil"/>
            </w:tcBorders>
          </w:tcPr>
          <w:p w14:paraId="60441457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655A249C" w14:textId="3B6B4730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Aetas</w:t>
            </w:r>
            <w:proofErr w:type="spellEnd"/>
          </w:p>
        </w:tc>
        <w:tc>
          <w:tcPr>
            <w:tcW w:w="1800" w:type="dxa"/>
          </w:tcPr>
          <w:p w14:paraId="4E3B4FB6" w14:textId="466CBE96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Mean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46DC731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F86FC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C6587" w14:paraId="3095A424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1F43928E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</w:tcBorders>
          </w:tcPr>
          <w:p w14:paraId="7E5A06C8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C32582" w14:textId="54F338C1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cm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F82D9FE" w14:textId="77D57C8D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1 SD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1E972" w14:textId="59B7305E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2.5 SD</w:t>
            </w:r>
          </w:p>
        </w:tc>
      </w:tr>
      <w:tr w:rsidR="009C6587" w14:paraId="3523C38B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77C6B7DD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D88A1BB" w14:textId="142123CA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0–5 menses </w:t>
            </w:r>
          </w:p>
        </w:tc>
        <w:tc>
          <w:tcPr>
            <w:tcW w:w="1800" w:type="dxa"/>
          </w:tcPr>
          <w:p w14:paraId="1DB153EF" w14:textId="7CD6F243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3.9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6EDB8DD" w14:textId="0812BF6D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0.8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9C33C" w14:textId="52467A29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1.9</w:t>
            </w:r>
          </w:p>
        </w:tc>
      </w:tr>
      <w:tr w:rsidR="009C6587" w14:paraId="1C85B100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381170CE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021695A" w14:textId="68236E75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6–12 menses </w:t>
            </w:r>
          </w:p>
        </w:tc>
        <w:tc>
          <w:tcPr>
            <w:tcW w:w="1800" w:type="dxa"/>
          </w:tcPr>
          <w:p w14:paraId="6CD3655A" w14:textId="26BBA419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4.3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4E42EBA" w14:textId="50EE07EE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0.8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140F4" w14:textId="56B30CC0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2.3</w:t>
            </w:r>
          </w:p>
        </w:tc>
      </w:tr>
      <w:tr w:rsidR="009C6587" w14:paraId="679F5595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4FE4171A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7C5732EF" w14:textId="0AF22E5B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&gt;1–2 anni </w:t>
            </w:r>
          </w:p>
        </w:tc>
        <w:tc>
          <w:tcPr>
            <w:tcW w:w="1800" w:type="dxa"/>
          </w:tcPr>
          <w:p w14:paraId="3849E9A5" w14:textId="49C32D67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4.7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6952B4C" w14:textId="68698B75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0.8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AB99C" w14:textId="3417F2E1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2.6</w:t>
            </w:r>
          </w:p>
        </w:tc>
      </w:tr>
      <w:tr w:rsidR="009C6587" w14:paraId="4E02BD99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66A33302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DE8B390" w14:textId="45BED9BE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&gt;2–3 anni </w:t>
            </w:r>
          </w:p>
        </w:tc>
        <w:tc>
          <w:tcPr>
            <w:tcW w:w="1800" w:type="dxa"/>
          </w:tcPr>
          <w:p w14:paraId="033D5B01" w14:textId="371AF73E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5.1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3D8F7F9" w14:textId="400FF680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0.9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DF7A9" w14:textId="3F705927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2.9</w:t>
            </w:r>
          </w:p>
        </w:tc>
      </w:tr>
      <w:tr w:rsidR="009C6587" w14:paraId="0CD95E39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5A30810E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1D3D433" w14:textId="28446C16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&gt;3–4 anni </w:t>
            </w:r>
          </w:p>
        </w:tc>
        <w:tc>
          <w:tcPr>
            <w:tcW w:w="1800" w:type="dxa"/>
          </w:tcPr>
          <w:p w14:paraId="06806167" w14:textId="02AB75A6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5.5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6255ABA" w14:textId="6460B708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0.9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164EC9" w14:textId="6D5A8BF0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3.3</w:t>
            </w:r>
          </w:p>
        </w:tc>
      </w:tr>
      <w:tr w:rsidR="009C6587" w14:paraId="55085B65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0A006516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4C32AF32" w14:textId="36C91A89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&gt;4–5 anni </w:t>
            </w:r>
          </w:p>
        </w:tc>
        <w:tc>
          <w:tcPr>
            <w:tcW w:w="1800" w:type="dxa"/>
          </w:tcPr>
          <w:p w14:paraId="4F77DF77" w14:textId="5AA5264F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5.7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4C4AAF4" w14:textId="1AAFA488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0.9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F1A7F" w14:textId="5F47A9DB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3.5</w:t>
            </w:r>
          </w:p>
        </w:tc>
      </w:tr>
      <w:tr w:rsidR="009C6587" w14:paraId="1E0D14D8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3CA702B0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6E1F0156" w14:textId="7578BB19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&gt;5–6 anni </w:t>
            </w:r>
          </w:p>
        </w:tc>
        <w:tc>
          <w:tcPr>
            <w:tcW w:w="1800" w:type="dxa"/>
          </w:tcPr>
          <w:p w14:paraId="3683338F" w14:textId="2AA0DB3C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6.0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25DBD67" w14:textId="4524BFF9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0.9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80B0F" w14:textId="2DE58355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3.8</w:t>
            </w:r>
          </w:p>
        </w:tc>
      </w:tr>
      <w:tr w:rsidR="009C6587" w14:paraId="3ADA5092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76E56680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599A3A01" w14:textId="39C031E3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&gt;6–7 anni </w:t>
            </w:r>
          </w:p>
        </w:tc>
        <w:tc>
          <w:tcPr>
            <w:tcW w:w="1800" w:type="dxa"/>
          </w:tcPr>
          <w:p w14:paraId="0CB01BCC" w14:textId="2E9D647E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6.1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B271602" w14:textId="271FE49E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0.9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42DB6" w14:textId="0D925492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3.9</w:t>
            </w:r>
          </w:p>
        </w:tc>
      </w:tr>
      <w:tr w:rsidR="009C6587" w14:paraId="5C0854EB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6451C661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3034732C" w14:textId="350B2421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&gt;7–8 anni </w:t>
            </w:r>
          </w:p>
        </w:tc>
        <w:tc>
          <w:tcPr>
            <w:tcW w:w="1800" w:type="dxa"/>
          </w:tcPr>
          <w:p w14:paraId="67332318" w14:textId="77604A13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6.2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FD62DD4" w14:textId="61B1BC6B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1.0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8FD40" w14:textId="7A9635FA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3.7</w:t>
            </w:r>
          </w:p>
        </w:tc>
      </w:tr>
      <w:tr w:rsidR="009C6587" w14:paraId="6731B9D5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46AE9EF3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3414B97A" w14:textId="27742CD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&gt;8–10 anni </w:t>
            </w:r>
          </w:p>
        </w:tc>
        <w:tc>
          <w:tcPr>
            <w:tcW w:w="1800" w:type="dxa"/>
          </w:tcPr>
          <w:p w14:paraId="1A1C5810" w14:textId="35A9180E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6.3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C6B1004" w14:textId="173C9977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1.0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237C1" w14:textId="0AD82F05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3.8</w:t>
            </w:r>
          </w:p>
        </w:tc>
      </w:tr>
      <w:tr w:rsidR="009C6587" w14:paraId="3524318C" w14:textId="77777777" w:rsidTr="00755BA2">
        <w:tc>
          <w:tcPr>
            <w:tcW w:w="2970" w:type="dxa"/>
            <w:vMerge/>
            <w:tcBorders>
              <w:left w:val="nil"/>
              <w:right w:val="nil"/>
            </w:tcBorders>
          </w:tcPr>
          <w:p w14:paraId="79B30E98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6543E4D6" w14:textId="3FE61473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&gt;10–11 anni</w:t>
            </w:r>
          </w:p>
        </w:tc>
        <w:tc>
          <w:tcPr>
            <w:tcW w:w="1800" w:type="dxa"/>
          </w:tcPr>
          <w:p w14:paraId="78AEDD40" w14:textId="4CFB8206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6.4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76AD596" w14:textId="0CE15957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1.1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C6B8" w14:textId="3C2D1108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3.7</w:t>
            </w:r>
          </w:p>
        </w:tc>
      </w:tr>
      <w:tr w:rsidR="009C6587" w14:paraId="71BF686E" w14:textId="77777777" w:rsidTr="00755BA2">
        <w:tc>
          <w:tcPr>
            <w:tcW w:w="2970" w:type="dxa"/>
            <w:vMerge/>
            <w:tcBorders>
              <w:left w:val="nil"/>
              <w:bottom w:val="nil"/>
              <w:right w:val="nil"/>
            </w:tcBorders>
          </w:tcPr>
          <w:p w14:paraId="488DA43F" w14:textId="77777777" w:rsidR="009C6587" w:rsidRDefault="009C6587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7CE2DD4C" w14:textId="2DFD130B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Adultes</w:t>
            </w:r>
            <w:proofErr w:type="spellEnd"/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2650B9B4" w14:textId="6B6E9BDD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1F0E312" w14:textId="68683C48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3D141" w14:textId="01DD8102" w:rsidR="009C6587" w:rsidRDefault="00473C28" w:rsidP="00524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71482D">
              <w:rPr>
                <w:rFonts w:ascii="Times New Roman" w:hAnsi="Times New Roman" w:cs="Times New Roman"/>
                <w:color w:val="211D1E"/>
                <w:kern w:val="0"/>
                <w:sz w:val="22"/>
                <w:szCs w:val="22"/>
              </w:rPr>
              <w:t>9.3</w:t>
            </w:r>
          </w:p>
        </w:tc>
      </w:tr>
    </w:tbl>
    <w:p w14:paraId="655B38DA" w14:textId="77777777" w:rsidR="00720F5C" w:rsidRPr="00CE368B" w:rsidRDefault="00720F5C" w:rsidP="008C5B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45C82C4" w14:textId="0422A9F0" w:rsidR="004F7A9B" w:rsidRPr="004F7A9B" w:rsidRDefault="0072458D" w:rsidP="004F7A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Gallia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est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omnis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divisa in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partes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tres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quarum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unam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Belgae,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aliam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Aquitani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tertiam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qui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ipsorum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lingua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Celtae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nostra Galli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appellantur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Hi omnes lingua,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insti-tutis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legibus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inter se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differunt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Gallos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ab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Aquitanis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Garumna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flumen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Belgis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Matrona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Sequana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dividit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omnium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fortissimi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 Belgae,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lastRenderedPageBreak/>
        <w:t>propterea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cultu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humanitate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provinciae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longissime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absunt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minimeque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mercatores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saepe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commeant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atque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ea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quae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ad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effeminandos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animos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pertinent important,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proximique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sunt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qui trans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Rhenum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incolunt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quibuscum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continenter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bellum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. Qua de causa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Helvetii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quoque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reliquos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Gallos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virtute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praecedunt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quod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fere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cotidianis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proeliis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contendunt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suis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prohibent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ipsi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eorum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bellum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Germanis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contendunt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, cum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aut</w:t>
      </w:r>
      <w:proofErr w:type="spellEnd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suis </w:t>
      </w:r>
      <w:proofErr w:type="spellStart"/>
      <w:r w:rsidRPr="001E68C6">
        <w:rPr>
          <w:rFonts w:ascii="Times New Roman" w:hAnsi="Times New Roman" w:cs="Times New Roman"/>
          <w:color w:val="211D1E"/>
          <w:kern w:val="0"/>
          <w:sz w:val="22"/>
          <w:szCs w:val="22"/>
        </w:rPr>
        <w:t>finibus</w:t>
      </w:r>
      <w:proofErr w:type="spellEnd"/>
      <w:r w:rsidR="007026A3" w:rsidRPr="00CE368B">
        <w:rPr>
          <w:rFonts w:ascii="Times New Roman" w:hAnsi="Times New Roman" w:cs="Times New Roman"/>
          <w:color w:val="211D1E"/>
          <w:kern w:val="0"/>
          <w:sz w:val="22"/>
          <w:szCs w:val="22"/>
        </w:rPr>
        <w:t>.</w:t>
      </w:r>
      <w:r w:rsidR="000000B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Hac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oratione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adducti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in vivo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fidem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ius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iurandum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dant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et regno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occupato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populos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totius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Galliae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sese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potiri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posse </w:t>
      </w:r>
      <w:proofErr w:type="spellStart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>sperant</w:t>
      </w:r>
      <w:proofErr w:type="spellEnd"/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(Myers et al</w:t>
      </w:r>
      <w:r w:rsidR="004F7A9B" w:rsidRPr="00CE368B">
        <w:rPr>
          <w:rFonts w:ascii="Times New Roman" w:hAnsi="Times New Roman" w:cs="Times New Roman"/>
          <w:color w:val="211D1E"/>
          <w:kern w:val="0"/>
          <w:sz w:val="22"/>
          <w:szCs w:val="22"/>
        </w:rPr>
        <w:t>. 2011).</w:t>
      </w:r>
      <w:r w:rsidR="004F7A9B" w:rsidRPr="004F7A9B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</w:t>
      </w:r>
    </w:p>
    <w:p w14:paraId="412BA44C" w14:textId="77777777" w:rsidR="0010162B" w:rsidRPr="00CE368B" w:rsidRDefault="0010162B" w:rsidP="0010162B">
      <w:pPr>
        <w:rPr>
          <w:rFonts w:ascii="Times New Roman" w:hAnsi="Times New Roman" w:cs="Times New Roman"/>
          <w:sz w:val="22"/>
          <w:szCs w:val="22"/>
        </w:rPr>
      </w:pPr>
    </w:p>
    <w:p w14:paraId="4632DEF8" w14:textId="77777777" w:rsidR="00736177" w:rsidRPr="00CE368B" w:rsidRDefault="00736177">
      <w:pPr>
        <w:rPr>
          <w:rFonts w:ascii="Times New Roman" w:hAnsi="Times New Roman" w:cs="Times New Roman"/>
          <w:sz w:val="22"/>
          <w:szCs w:val="22"/>
        </w:rPr>
      </w:pPr>
    </w:p>
    <w:p w14:paraId="415BFA85" w14:textId="77777777" w:rsidR="005D217D" w:rsidRPr="00CE368B" w:rsidRDefault="005D217D" w:rsidP="005D21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CE368B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References</w:t>
      </w:r>
    </w:p>
    <w:p w14:paraId="588B9F64" w14:textId="77777777" w:rsidR="00D0229B" w:rsidRPr="00CE368B" w:rsidRDefault="00D0229B" w:rsidP="005D21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5415F457" w14:textId="77777777" w:rsidR="00D0229B" w:rsidRPr="00CE368B" w:rsidRDefault="00D0229B" w:rsidP="005D21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0FAEC226" w14:textId="016D0A13" w:rsidR="005D217D" w:rsidRPr="00CE368B" w:rsidRDefault="005D217D" w:rsidP="00417F0D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Andrews K (1969) Toward professionalism in business management. Harvard Business Review</w:t>
      </w:r>
      <w:r w:rsidR="007026A3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47(2)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: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49–60</w:t>
      </w:r>
    </w:p>
    <w:p w14:paraId="65E7B165" w14:textId="462BED79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proofErr w:type="spellStart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Bartol</w:t>
      </w:r>
      <w:proofErr w:type="spellEnd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K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,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Martin D (1998) Management (international edition) (3rd ed.)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Irvin/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McGraw-Hill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, New York</w:t>
      </w:r>
    </w:p>
    <w:p w14:paraId="1C249DED" w14:textId="56A1161A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proofErr w:type="spellStart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Benetatou</w:t>
      </w:r>
      <w:proofErr w:type="spellEnd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M (2011) Confucian and Aristotelian ethics: A global model for leadership. In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Proceedings of international conference on </w:t>
      </w:r>
      <w:r w:rsidR="00015B8C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“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Leadership and management in a changing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world: Aristotle and Confucius in modern society</w:t>
      </w:r>
      <w:r w:rsidR="00015B8C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”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, Athens.</w:t>
      </w:r>
    </w:p>
    <w:p w14:paraId="68C969F1" w14:textId="3428D7A1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proofErr w:type="spellStart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Billsberry</w:t>
      </w:r>
      <w:proofErr w:type="spellEnd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J </w:t>
      </w:r>
      <w:proofErr w:type="spellStart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Birnik</w:t>
      </w:r>
      <w:proofErr w:type="spellEnd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A (2010) Management as a contextual practice: The need to blend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science, </w:t>
      </w:r>
      <w:proofErr w:type="gramStart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skills</w:t>
      </w:r>
      <w:proofErr w:type="gramEnd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and practical wisdom. Organization Management Journal 7(2)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: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171–178</w:t>
      </w:r>
    </w:p>
    <w:p w14:paraId="12A1FE33" w14:textId="732A2DB8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Blackburn M McGee P (2004) Talking virtue: Professionalism in business and virtue ethics.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Global Virtue Ethics Review 5(4)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: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90–122</w:t>
      </w:r>
    </w:p>
    <w:p w14:paraId="31994526" w14:textId="49DF1D47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proofErr w:type="spellStart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Bragues</w:t>
      </w:r>
      <w:proofErr w:type="spellEnd"/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G (2006) Seek the good life, not money: The Aristotelian approach to business ethics.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Journal of Business Ethics 67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: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341–357</w:t>
      </w:r>
    </w:p>
    <w:p w14:paraId="6030D91C" w14:textId="5E1C84C5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Brandeis LD (1912) Business – A profession. An address delivered at Brown 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U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niversity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commencement day, 1912 (published in System, October 1912). </w:t>
      </w:r>
      <w:r w:rsidRPr="00CE368B">
        <w:rPr>
          <w:rFonts w:ascii="Times New Roman" w:hAnsi="Times New Roman" w:cs="Times New Roman"/>
          <w:color w:val="0000FF"/>
          <w:kern w:val="0"/>
          <w:sz w:val="21"/>
          <w:szCs w:val="21"/>
        </w:rPr>
        <w:t>http://www.law.louisville.edu/library/collections/brandeis/node/203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.</w:t>
      </w:r>
    </w:p>
    <w:p w14:paraId="76ACD537" w14:textId="21016D1E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Chen MJ Miller D (2011) The relational perspective as a business mindset: Managerial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implications for east and west. Academy of Management Perspectives 25(3)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: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6–18</w:t>
      </w:r>
    </w:p>
    <w:p w14:paraId="5F7C8E9F" w14:textId="051C1294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Collins D (1987) Aristotle and business. Journal of Business Ethics 6(7)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: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567–572</w:t>
      </w:r>
    </w:p>
    <w:p w14:paraId="4C8091AE" w14:textId="2117D68B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Donaldson T (2000) Are business managers ‘professionals’? Business Ethics Quarterly 10(1)</w:t>
      </w:r>
      <w:r w:rsidR="003C5DBA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: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83–94</w:t>
      </w:r>
    </w:p>
    <w:p w14:paraId="6C3CE0ED" w14:textId="6C44AF6A" w:rsidR="005D217D" w:rsidRPr="00CE368B" w:rsidRDefault="005D217D" w:rsidP="007026A3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Donaldson T Preston L (1995) The stakeholder theory of the corporation: Concepts,</w:t>
      </w:r>
      <w:r w:rsidR="00417F0D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evidence, and implications. The Academy of Management Review 20(1)</w:t>
      </w:r>
      <w:r w:rsidR="003C5DBA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: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65–91</w:t>
      </w:r>
    </w:p>
    <w:p w14:paraId="32DEE27A" w14:textId="4E719324" w:rsidR="001E68C6" w:rsidRPr="00CE368B" w:rsidRDefault="005D217D" w:rsidP="007026A3">
      <w:pPr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Donham P (1962) Is management a profession? Harvard Business Review 40(5)</w:t>
      </w:r>
      <w:r w:rsidR="003C5DBA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:</w:t>
      </w: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60–68</w:t>
      </w:r>
    </w:p>
    <w:p w14:paraId="6ABC4578" w14:textId="4D5AF5C1" w:rsidR="003C5DBA" w:rsidRPr="00CE368B" w:rsidRDefault="003C5DBA" w:rsidP="007026A3">
      <w:pPr>
        <w:spacing w:after="6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Smith J (ed) (1998) Rodent genes. Mod Genomics J 14(6): 126-233</w:t>
      </w:r>
    </w:p>
    <w:p w14:paraId="07B3F1FD" w14:textId="15848975" w:rsidR="00417F0D" w:rsidRPr="00CE368B" w:rsidRDefault="00417F0D" w:rsidP="007026A3">
      <w:pPr>
        <w:spacing w:after="60"/>
        <w:jc w:val="both"/>
        <w:rPr>
          <w:rFonts w:ascii="Times New Roman" w:hAnsi="Times New Roman" w:cs="Times New Roman"/>
          <w:sz w:val="21"/>
          <w:szCs w:val="21"/>
        </w:rPr>
      </w:pPr>
      <w:r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Smith J, </w:t>
      </w:r>
      <w:r w:rsidR="003C5DBA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Jones M Jr, Houghton L et al (1999) Future of Health Insurance. N </w:t>
      </w:r>
      <w:proofErr w:type="spellStart"/>
      <w:r w:rsidR="003C5DBA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>Engl</w:t>
      </w:r>
      <w:proofErr w:type="spellEnd"/>
      <w:r w:rsidR="003C5DBA" w:rsidRPr="00CE36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J Med 965: 325-329</w:t>
      </w:r>
    </w:p>
    <w:p w14:paraId="546FAA91" w14:textId="76191D1D" w:rsidR="001E68C6" w:rsidRPr="00CE368B" w:rsidRDefault="003C5DBA" w:rsidP="007026A3">
      <w:pPr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CE368B">
        <w:rPr>
          <w:rFonts w:ascii="Times New Roman" w:hAnsi="Times New Roman" w:cs="Times New Roman"/>
          <w:sz w:val="21"/>
          <w:szCs w:val="21"/>
        </w:rPr>
        <w:t>Zonwghi</w:t>
      </w:r>
      <w:proofErr w:type="spellEnd"/>
      <w:r w:rsidRPr="00CE368B">
        <w:rPr>
          <w:rFonts w:ascii="Times New Roman" w:hAnsi="Times New Roman" w:cs="Times New Roman"/>
          <w:sz w:val="21"/>
          <w:szCs w:val="21"/>
        </w:rPr>
        <w:t xml:space="preserve"> D et al (1996) A framework for reasoning about requirements in evolution. In Foo N, Goebel R (eds) PRICAI’96: topics in artificial intelligence. 4th Pacific Rim conference in artificial intelligence, Cairns, August 1996. Lecture notes in computer science, vol 1114, Springer, Heidelberg, p 157</w:t>
      </w:r>
    </w:p>
    <w:sectPr w:rsidR="001E68C6" w:rsidRPr="00CE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TGAA O+ Times">
    <w:altName w:val="CTGAA O+ Times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1FC9"/>
    <w:multiLevelType w:val="hybridMultilevel"/>
    <w:tmpl w:val="4B0E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2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C6"/>
    <w:rsid w:val="000000BE"/>
    <w:rsid w:val="00015B8C"/>
    <w:rsid w:val="0010162B"/>
    <w:rsid w:val="00107461"/>
    <w:rsid w:val="001E13F6"/>
    <w:rsid w:val="001E68C6"/>
    <w:rsid w:val="003A23D0"/>
    <w:rsid w:val="003B25CC"/>
    <w:rsid w:val="003C5DBA"/>
    <w:rsid w:val="00417F0D"/>
    <w:rsid w:val="00473C28"/>
    <w:rsid w:val="00491E5F"/>
    <w:rsid w:val="004F7A9B"/>
    <w:rsid w:val="00524801"/>
    <w:rsid w:val="005D217D"/>
    <w:rsid w:val="005D235C"/>
    <w:rsid w:val="005D4B0E"/>
    <w:rsid w:val="007026A3"/>
    <w:rsid w:val="0071482D"/>
    <w:rsid w:val="00720F5C"/>
    <w:rsid w:val="0072458D"/>
    <w:rsid w:val="00736177"/>
    <w:rsid w:val="007702D9"/>
    <w:rsid w:val="007B7ABA"/>
    <w:rsid w:val="00880116"/>
    <w:rsid w:val="008C5BA7"/>
    <w:rsid w:val="009C6587"/>
    <w:rsid w:val="00A400D3"/>
    <w:rsid w:val="00AC4537"/>
    <w:rsid w:val="00B135C4"/>
    <w:rsid w:val="00B35B26"/>
    <w:rsid w:val="00B71A0A"/>
    <w:rsid w:val="00BA5557"/>
    <w:rsid w:val="00BB3DAF"/>
    <w:rsid w:val="00CE368B"/>
    <w:rsid w:val="00D0229B"/>
    <w:rsid w:val="00DD59D3"/>
    <w:rsid w:val="00ED5C2D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5D8B"/>
  <w15:chartTrackingRefBased/>
  <w15:docId w15:val="{E4C94D09-248E-C84D-BBC7-F66AB872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8C6"/>
    <w:pPr>
      <w:autoSpaceDE w:val="0"/>
      <w:autoSpaceDN w:val="0"/>
      <w:adjustRightInd w:val="0"/>
    </w:pPr>
    <w:rPr>
      <w:rFonts w:ascii="CTGAA O+ Times" w:hAnsi="CTGAA O+ Times" w:cs="CTGAA O+ Times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7B7ABA"/>
    <w:pPr>
      <w:ind w:left="720"/>
      <w:contextualSpacing/>
    </w:pPr>
  </w:style>
  <w:style w:type="table" w:styleId="TableGrid">
    <w:name w:val="Table Grid"/>
    <w:basedOn w:val="TableNormal"/>
    <w:uiPriority w:val="39"/>
    <w:rsid w:val="009C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2384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Prastacos</dc:creator>
  <cp:keywords/>
  <dc:description/>
  <cp:lastModifiedBy>XENI MAMAKOU</cp:lastModifiedBy>
  <cp:revision>2</cp:revision>
  <cp:lastPrinted>2023-05-15T16:21:00Z</cp:lastPrinted>
  <dcterms:created xsi:type="dcterms:W3CDTF">2023-05-16T07:24:00Z</dcterms:created>
  <dcterms:modified xsi:type="dcterms:W3CDTF">2023-05-16T07:24:00Z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2023-05-13T18:00:22Z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f6337839-6e6e-4b58-b5df-edf36fb90c17</vt:lpwstr>
  </property>
  <property fmtid="{D5CDD505-2E9C-101B-9397-08002B2CF9AE}" pid="8" name="MSIP_Label_a73fd474-4f3c-44ed-88fb-5cc4bd2471bf_ContentBits">
    <vt:lpwstr>0</vt:lpwstr>
  </property>
</Properties>
</file>